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00016/26.1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19.01.2026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26201010/96559/26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CSOBID109349707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CSOBID109349707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19.01.2026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2026-01-19T14:35:53.303+01:00</vt:date>
  </prop:property>
</prop:Properties>
</file>